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F192C" w14:textId="19ADCCBC" w:rsidR="000B4BF1" w:rsidRPr="00CC27AF" w:rsidRDefault="00CC27AF" w:rsidP="00CC27AF">
      <w:pPr>
        <w:shd w:val="clear" w:color="auto" w:fill="FFFFFF"/>
        <w:spacing w:before="100" w:beforeAutospacing="1" w:after="100" w:afterAutospacing="1" w:line="240" w:lineRule="auto"/>
        <w:jc w:val="center"/>
        <w:textAlignment w:val="baseline"/>
        <w:rPr>
          <w:rFonts w:ascii="Arial" w:eastAsia="Times New Roman" w:hAnsi="Arial" w:cs="Arial"/>
          <w:b/>
          <w:bCs/>
          <w:color w:val="444444"/>
          <w:kern w:val="0"/>
          <w:sz w:val="22"/>
          <w:szCs w:val="22"/>
          <w14:ligatures w14:val="none"/>
        </w:rPr>
      </w:pPr>
      <w:r w:rsidRPr="00CC27AF">
        <w:rPr>
          <w:rFonts w:ascii="Arial" w:eastAsia="Times New Roman" w:hAnsi="Arial" w:cs="Arial"/>
          <w:b/>
          <w:bCs/>
          <w:color w:val="444444"/>
          <w:kern w:val="0"/>
          <w:sz w:val="22"/>
          <w:szCs w:val="22"/>
          <w14:ligatures w14:val="none"/>
        </w:rPr>
        <w:t xml:space="preserve">AAUW Maryland </w:t>
      </w:r>
      <w:r w:rsidR="000B4BF1" w:rsidRPr="00CC27AF">
        <w:rPr>
          <w:rFonts w:ascii="Arial" w:eastAsia="Times New Roman" w:hAnsi="Arial" w:cs="Arial"/>
          <w:b/>
          <w:bCs/>
          <w:color w:val="444444"/>
          <w:kern w:val="0"/>
          <w:sz w:val="22"/>
          <w:szCs w:val="22"/>
          <w14:ligatures w14:val="none"/>
        </w:rPr>
        <w:t xml:space="preserve">Public Policy </w:t>
      </w:r>
      <w:r w:rsidRPr="00CC27AF">
        <w:rPr>
          <w:rFonts w:ascii="Arial" w:eastAsia="Times New Roman" w:hAnsi="Arial" w:cs="Arial"/>
          <w:b/>
          <w:bCs/>
          <w:color w:val="444444"/>
          <w:kern w:val="0"/>
          <w:sz w:val="22"/>
          <w:szCs w:val="22"/>
          <w14:ligatures w14:val="none"/>
        </w:rPr>
        <w:t xml:space="preserve">2023-24 </w:t>
      </w:r>
      <w:r w:rsidR="000B4BF1" w:rsidRPr="00CC27AF">
        <w:rPr>
          <w:rFonts w:ascii="Arial" w:eastAsia="Times New Roman" w:hAnsi="Arial" w:cs="Arial"/>
          <w:b/>
          <w:bCs/>
          <w:color w:val="444444"/>
          <w:kern w:val="0"/>
          <w:sz w:val="22"/>
          <w:szCs w:val="22"/>
          <w14:ligatures w14:val="none"/>
        </w:rPr>
        <w:t>Annual Report</w:t>
      </w:r>
    </w:p>
    <w:p w14:paraId="69DC99EF" w14:textId="22620BE5" w:rsidR="00232FD6" w:rsidRPr="000B4BF1" w:rsidRDefault="00232FD6" w:rsidP="00232FD6">
      <w:pPr>
        <w:shd w:val="clear" w:color="auto" w:fill="FFFFFF"/>
        <w:spacing w:before="100" w:beforeAutospacing="1" w:after="10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t xml:space="preserve">The Maryland General Assembly 2024 session ended on April 8, 2024. </w:t>
      </w:r>
      <w:r w:rsidR="005E13D9" w:rsidRPr="000B4BF1">
        <w:rPr>
          <w:rFonts w:ascii="Arial" w:eastAsia="Times New Roman" w:hAnsi="Arial" w:cs="Arial"/>
          <w:color w:val="444444"/>
          <w:kern w:val="0"/>
          <w:sz w:val="22"/>
          <w:szCs w:val="22"/>
          <w14:ligatures w14:val="none"/>
        </w:rPr>
        <w:t>Seven of our 12</w:t>
      </w:r>
      <w:r w:rsidRPr="000B4BF1">
        <w:rPr>
          <w:rFonts w:ascii="Arial" w:eastAsia="Times New Roman" w:hAnsi="Arial" w:cs="Arial"/>
          <w:color w:val="444444"/>
          <w:kern w:val="0"/>
          <w:sz w:val="22"/>
          <w:szCs w:val="22"/>
          <w14:ligatures w14:val="none"/>
        </w:rPr>
        <w:t xml:space="preserve"> bills passed. They are listed here:</w:t>
      </w:r>
    </w:p>
    <w:p w14:paraId="025FE1E4" w14:textId="4634315E" w:rsidR="007223DE" w:rsidRPr="000B4BF1" w:rsidRDefault="00CC27AF" w:rsidP="00731B63">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hyperlink r:id="rId5" w:history="1">
        <w:r w:rsidR="007223DE" w:rsidRPr="000B4BF1">
          <w:rPr>
            <w:rStyle w:val="Hyperlink"/>
            <w:rFonts w:ascii="Arial" w:eastAsia="Times New Roman" w:hAnsi="Arial" w:cs="Arial"/>
            <w:b/>
            <w:bCs/>
            <w:kern w:val="0"/>
            <w:sz w:val="22"/>
            <w:szCs w:val="22"/>
            <w14:ligatures w14:val="none"/>
          </w:rPr>
          <w:t>SJ1</w:t>
        </w:r>
      </w:hyperlink>
      <w:r w:rsidR="007223DE" w:rsidRPr="000B4BF1">
        <w:rPr>
          <w:rFonts w:ascii="Arial" w:eastAsia="Times New Roman" w:hAnsi="Arial" w:cs="Arial"/>
          <w:b/>
          <w:bCs/>
          <w:color w:val="444444"/>
          <w:kern w:val="0"/>
          <w:sz w:val="22"/>
          <w:szCs w:val="22"/>
          <w14:ligatures w14:val="none"/>
        </w:rPr>
        <w:t>, HJ1</w:t>
      </w:r>
      <w:r w:rsidR="007223DE" w:rsidRPr="000B4BF1">
        <w:rPr>
          <w:rFonts w:ascii="Arial" w:eastAsia="Times New Roman" w:hAnsi="Arial" w:cs="Arial"/>
          <w:color w:val="444444"/>
          <w:kern w:val="0"/>
          <w:sz w:val="22"/>
          <w:szCs w:val="22"/>
          <w14:ligatures w14:val="none"/>
        </w:rPr>
        <w:t>.</w:t>
      </w:r>
      <w:r w:rsidR="0067153B" w:rsidRPr="000B4BF1">
        <w:rPr>
          <w:rFonts w:ascii="Arial" w:eastAsia="Times New Roman" w:hAnsi="Arial" w:cs="Arial"/>
          <w:color w:val="444444"/>
          <w:kern w:val="0"/>
          <w:sz w:val="22"/>
          <w:szCs w:val="22"/>
          <w14:ligatures w14:val="none"/>
        </w:rPr>
        <w:t xml:space="preserve"> </w:t>
      </w:r>
      <w:r w:rsidR="0067153B" w:rsidRPr="000B4BF1">
        <w:rPr>
          <w:rFonts w:ascii="Arial" w:eastAsia="Times New Roman" w:hAnsi="Arial" w:cs="Arial"/>
          <w:b/>
          <w:bCs/>
          <w:color w:val="444444"/>
          <w:kern w:val="0"/>
          <w:sz w:val="22"/>
          <w:szCs w:val="22"/>
          <w14:ligatures w14:val="none"/>
        </w:rPr>
        <w:t>Affirming the Federal Equal Rights Amendment</w:t>
      </w:r>
      <w:r w:rsidR="0067153B" w:rsidRPr="000B4BF1">
        <w:rPr>
          <w:rFonts w:ascii="Arial" w:eastAsia="Times New Roman" w:hAnsi="Arial" w:cs="Arial"/>
          <w:color w:val="444444"/>
          <w:kern w:val="0"/>
          <w:sz w:val="22"/>
          <w:szCs w:val="22"/>
          <w14:ligatures w14:val="none"/>
        </w:rPr>
        <w:t xml:space="preserve">, </w:t>
      </w:r>
      <w:r w:rsidR="00FC753A" w:rsidRPr="000B4BF1">
        <w:rPr>
          <w:rFonts w:ascii="Arial" w:hAnsi="Arial" w:cs="Arial"/>
          <w:sz w:val="22"/>
          <w:szCs w:val="22"/>
        </w:rPr>
        <w:t>which endorses a resolution that o</w:t>
      </w:r>
      <w:r w:rsidR="0067153B" w:rsidRPr="000B4BF1">
        <w:rPr>
          <w:rFonts w:ascii="Arial" w:hAnsi="Arial" w:cs="Arial"/>
          <w:sz w:val="22"/>
          <w:szCs w:val="22"/>
        </w:rPr>
        <w:t>ur Congress</w:t>
      </w:r>
      <w:r w:rsidR="00FC753A" w:rsidRPr="000B4BF1">
        <w:rPr>
          <w:rFonts w:ascii="Arial" w:hAnsi="Arial" w:cs="Arial"/>
          <w:sz w:val="22"/>
          <w:szCs w:val="22"/>
        </w:rPr>
        <w:t>ional</w:t>
      </w:r>
      <w:r w:rsidR="0067153B" w:rsidRPr="000B4BF1">
        <w:rPr>
          <w:rFonts w:ascii="Arial" w:hAnsi="Arial" w:cs="Arial"/>
          <w:sz w:val="22"/>
          <w:szCs w:val="22"/>
        </w:rPr>
        <w:t xml:space="preserve"> delegation from Maryland </w:t>
      </w:r>
      <w:r w:rsidR="00FC753A" w:rsidRPr="000B4BF1">
        <w:rPr>
          <w:rFonts w:ascii="Arial" w:hAnsi="Arial" w:cs="Arial"/>
          <w:sz w:val="22"/>
          <w:szCs w:val="22"/>
        </w:rPr>
        <w:t>will</w:t>
      </w:r>
      <w:r w:rsidR="0067153B" w:rsidRPr="000B4BF1">
        <w:rPr>
          <w:rFonts w:ascii="Arial" w:hAnsi="Arial" w:cs="Arial"/>
          <w:sz w:val="22"/>
          <w:szCs w:val="22"/>
        </w:rPr>
        <w:t xml:space="preserve"> present to the President and Congress indicating that Marylanders want the Congress to make the ratified Equal Rights Amendment law.</w:t>
      </w:r>
    </w:p>
    <w:p w14:paraId="39EACF7B" w14:textId="77777777" w:rsidR="0067153B" w:rsidRPr="000B4BF1" w:rsidRDefault="0067153B" w:rsidP="00731B63">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p>
    <w:p w14:paraId="2748CB31" w14:textId="2E8F4B64" w:rsidR="00731B63" w:rsidRPr="000B4BF1" w:rsidRDefault="00232FD6" w:rsidP="00731B63">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b/>
          <w:bCs/>
          <w:color w:val="444444"/>
          <w:kern w:val="0"/>
          <w:sz w:val="22"/>
          <w:szCs w:val="22"/>
          <w:bdr w:val="none" w:sz="0" w:space="0" w:color="auto" w:frame="1"/>
          <w14:ligatures w14:val="none"/>
        </w:rPr>
        <w:t>SB758, </w:t>
      </w:r>
      <w:hyperlink r:id="rId6" w:history="1">
        <w:r w:rsidRPr="000B4BF1">
          <w:rPr>
            <w:rStyle w:val="Hyperlink"/>
            <w:rFonts w:ascii="Arial" w:eastAsia="Times New Roman" w:hAnsi="Arial" w:cs="Arial"/>
            <w:b/>
            <w:bCs/>
            <w:kern w:val="0"/>
            <w:sz w:val="22"/>
            <w:szCs w:val="22"/>
            <w:bdr w:val="none" w:sz="0" w:space="0" w:color="auto" w:frame="1"/>
            <w14:ligatures w14:val="none"/>
          </w:rPr>
          <w:t>HB496</w:t>
        </w:r>
      </w:hyperlink>
      <w:r w:rsidRPr="000B4BF1">
        <w:rPr>
          <w:rFonts w:ascii="Arial" w:eastAsia="Times New Roman" w:hAnsi="Arial" w:cs="Arial"/>
          <w:color w:val="444444"/>
          <w:kern w:val="0"/>
          <w:sz w:val="22"/>
          <w:szCs w:val="22"/>
          <w14:ligatures w14:val="none"/>
        </w:rPr>
        <w:t>. </w:t>
      </w:r>
      <w:r w:rsidR="005E13D9" w:rsidRPr="000B4BF1">
        <w:rPr>
          <w:rFonts w:ascii="Arial" w:eastAsia="Times New Roman" w:hAnsi="Arial" w:cs="Arial"/>
          <w:b/>
          <w:bCs/>
          <w:color w:val="444444"/>
          <w:kern w:val="0"/>
          <w:sz w:val="22"/>
          <w:szCs w:val="22"/>
          <w:bdr w:val="none" w:sz="0" w:space="0" w:color="auto" w:frame="1"/>
          <w14:ligatures w14:val="none"/>
        </w:rPr>
        <w:t>Definition of Consent and Repeal of Force</w:t>
      </w:r>
      <w:r w:rsidRPr="000B4BF1">
        <w:rPr>
          <w:rFonts w:ascii="Arial" w:eastAsia="Times New Roman" w:hAnsi="Arial" w:cs="Arial"/>
          <w:b/>
          <w:bCs/>
          <w:color w:val="444444"/>
          <w:kern w:val="0"/>
          <w:sz w:val="22"/>
          <w:szCs w:val="22"/>
          <w:bdr w:val="none" w:sz="0" w:space="0" w:color="auto" w:frame="1"/>
          <w14:ligatures w14:val="none"/>
        </w:rPr>
        <w:t>, </w:t>
      </w:r>
      <w:r w:rsidR="005E13D9" w:rsidRPr="000B4BF1">
        <w:rPr>
          <w:rFonts w:ascii="Arial" w:hAnsi="Arial" w:cs="Arial"/>
          <w:sz w:val="22"/>
          <w:szCs w:val="22"/>
        </w:rPr>
        <w:t xml:space="preserve"> </w:t>
      </w:r>
      <w:r w:rsidR="00D422B7" w:rsidRPr="000B4BF1">
        <w:rPr>
          <w:rFonts w:ascii="Arial" w:hAnsi="Arial" w:cs="Arial"/>
          <w:sz w:val="22"/>
          <w:szCs w:val="22"/>
        </w:rPr>
        <w:t>which changes t</w:t>
      </w:r>
      <w:r w:rsidR="005E13D9" w:rsidRPr="000B4BF1">
        <w:rPr>
          <w:rFonts w:ascii="Arial" w:hAnsi="Arial" w:cs="Arial"/>
          <w:sz w:val="22"/>
          <w:szCs w:val="22"/>
        </w:rPr>
        <w:t xml:space="preserve">he definition of Consent in situations involving sexual assault to recognize that a victim may freeze and/or not fight back and that this does not </w:t>
      </w:r>
      <w:r w:rsidR="00CB1E8C">
        <w:rPr>
          <w:rFonts w:ascii="Arial" w:hAnsi="Arial" w:cs="Arial"/>
          <w:sz w:val="22"/>
          <w:szCs w:val="22"/>
        </w:rPr>
        <w:t>indicate</w:t>
      </w:r>
      <w:r w:rsidR="005E13D9" w:rsidRPr="000B4BF1">
        <w:rPr>
          <w:rFonts w:ascii="Arial" w:hAnsi="Arial" w:cs="Arial"/>
          <w:sz w:val="22"/>
          <w:szCs w:val="22"/>
        </w:rPr>
        <w:t xml:space="preserve"> consent</w:t>
      </w:r>
      <w:r w:rsidR="00D422B7" w:rsidRPr="000B4BF1">
        <w:rPr>
          <w:rFonts w:ascii="Arial" w:hAnsi="Arial" w:cs="Arial"/>
          <w:sz w:val="22"/>
          <w:szCs w:val="22"/>
        </w:rPr>
        <w:t>.</w:t>
      </w:r>
      <w:r w:rsidR="00731B63" w:rsidRPr="000B4BF1">
        <w:rPr>
          <w:rFonts w:ascii="Arial" w:eastAsia="Times New Roman" w:hAnsi="Arial" w:cs="Arial"/>
          <w:color w:val="444444"/>
          <w:kern w:val="0"/>
          <w:sz w:val="22"/>
          <w:szCs w:val="22"/>
          <w14:ligatures w14:val="none"/>
        </w:rPr>
        <w:br/>
      </w:r>
    </w:p>
    <w:p w14:paraId="256C52EE" w14:textId="611A63B8" w:rsidR="00D422B7" w:rsidRPr="000B4BF1" w:rsidRDefault="00232FD6" w:rsidP="00731B63">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b/>
          <w:bCs/>
          <w:color w:val="444444"/>
          <w:kern w:val="0"/>
          <w:sz w:val="22"/>
          <w:szCs w:val="22"/>
          <w:bdr w:val="none" w:sz="0" w:space="0" w:color="auto" w:frame="1"/>
          <w14:ligatures w14:val="none"/>
        </w:rPr>
        <w:t>SB</w:t>
      </w:r>
      <w:r w:rsidR="005E13D9" w:rsidRPr="000B4BF1">
        <w:rPr>
          <w:rFonts w:ascii="Arial" w:eastAsia="Times New Roman" w:hAnsi="Arial" w:cs="Arial"/>
          <w:b/>
          <w:bCs/>
          <w:color w:val="444444"/>
          <w:kern w:val="0"/>
          <w:sz w:val="22"/>
          <w:szCs w:val="22"/>
          <w:bdr w:val="none" w:sz="0" w:space="0" w:color="auto" w:frame="1"/>
          <w14:ligatures w14:val="none"/>
        </w:rPr>
        <w:t>197</w:t>
      </w:r>
      <w:r w:rsidRPr="000B4BF1">
        <w:rPr>
          <w:rFonts w:ascii="Arial" w:eastAsia="Times New Roman" w:hAnsi="Arial" w:cs="Arial"/>
          <w:b/>
          <w:bCs/>
          <w:color w:val="444444"/>
          <w:kern w:val="0"/>
          <w:sz w:val="22"/>
          <w:szCs w:val="22"/>
          <w:bdr w:val="none" w:sz="0" w:space="0" w:color="auto" w:frame="1"/>
          <w14:ligatures w14:val="none"/>
        </w:rPr>
        <w:t>, </w:t>
      </w:r>
      <w:hyperlink r:id="rId7" w:history="1">
        <w:r w:rsidR="005E13D9" w:rsidRPr="000B4BF1">
          <w:rPr>
            <w:rStyle w:val="Hyperlink"/>
            <w:rFonts w:ascii="Arial" w:eastAsia="Times New Roman" w:hAnsi="Arial" w:cs="Arial"/>
            <w:b/>
            <w:bCs/>
            <w:kern w:val="0"/>
            <w:sz w:val="22"/>
            <w:szCs w:val="22"/>
            <w:bdr w:val="none" w:sz="0" w:space="0" w:color="auto" w:frame="1"/>
            <w14:ligatures w14:val="none"/>
          </w:rPr>
          <w:t>HB39</w:t>
        </w:r>
      </w:hyperlink>
      <w:r w:rsidRPr="000B4BF1">
        <w:rPr>
          <w:rFonts w:ascii="Arial" w:eastAsia="Times New Roman" w:hAnsi="Arial" w:cs="Arial"/>
          <w:color w:val="444444"/>
          <w:kern w:val="0"/>
          <w:sz w:val="22"/>
          <w:szCs w:val="22"/>
          <w14:ligatures w14:val="none"/>
        </w:rPr>
        <w:t>. </w:t>
      </w:r>
      <w:r w:rsidR="005E13D9" w:rsidRPr="000B4BF1">
        <w:rPr>
          <w:rFonts w:ascii="Arial" w:eastAsia="Times New Roman" w:hAnsi="Arial" w:cs="Arial"/>
          <w:b/>
          <w:bCs/>
          <w:color w:val="444444"/>
          <w:kern w:val="0"/>
          <w:sz w:val="22"/>
          <w:szCs w:val="22"/>
          <w:bdr w:val="none" w:sz="0" w:space="0" w:color="auto" w:frame="1"/>
          <w14:ligatures w14:val="none"/>
        </w:rPr>
        <w:t xml:space="preserve">Homecare Worker Rights Act of 2024, </w:t>
      </w:r>
      <w:r w:rsidR="00D422B7" w:rsidRPr="000B4BF1">
        <w:rPr>
          <w:rFonts w:ascii="Arial" w:hAnsi="Arial" w:cs="Arial"/>
          <w:sz w:val="22"/>
          <w:szCs w:val="22"/>
        </w:rPr>
        <w:t>which would require homecare companies to classify their workers as employees and not as independent contractors. Most homecare workers are women. This would entitle them to Workmen’s Compensation, overtime pay, sick and family leave and other benefits shared by employees in Maryland.</w:t>
      </w:r>
    </w:p>
    <w:p w14:paraId="5121A562" w14:textId="5D297523" w:rsidR="00D422B7" w:rsidRPr="000B4BF1" w:rsidRDefault="00D422B7" w:rsidP="00D422B7">
      <w:pPr>
        <w:pStyle w:val="ListParagraph"/>
        <w:numPr>
          <w:ilvl w:val="0"/>
          <w:numId w:val="2"/>
        </w:numPr>
        <w:rPr>
          <w:rFonts w:ascii="Arial" w:hAnsi="Arial" w:cs="Arial"/>
          <w:sz w:val="22"/>
          <w:szCs w:val="22"/>
        </w:rPr>
      </w:pPr>
      <w:r w:rsidRPr="000B4BF1">
        <w:rPr>
          <w:rFonts w:ascii="Arial" w:eastAsia="Times New Roman" w:hAnsi="Arial" w:cs="Arial"/>
          <w:b/>
          <w:bCs/>
          <w:color w:val="444444"/>
          <w:kern w:val="0"/>
          <w:sz w:val="22"/>
          <w:szCs w:val="22"/>
          <w14:ligatures w14:val="none"/>
        </w:rPr>
        <w:t xml:space="preserve">SB525, </w:t>
      </w:r>
      <w:hyperlink r:id="rId8" w:history="1">
        <w:r w:rsidRPr="000B4BF1">
          <w:rPr>
            <w:rStyle w:val="Hyperlink"/>
            <w:rFonts w:ascii="Arial" w:eastAsia="Times New Roman" w:hAnsi="Arial" w:cs="Arial"/>
            <w:b/>
            <w:bCs/>
            <w:kern w:val="0"/>
            <w:sz w:val="22"/>
            <w:szCs w:val="22"/>
            <w14:ligatures w14:val="none"/>
          </w:rPr>
          <w:t>HB649</w:t>
        </w:r>
      </w:hyperlink>
      <w:r w:rsidRPr="000B4BF1">
        <w:rPr>
          <w:rFonts w:ascii="Arial" w:eastAsia="Times New Roman" w:hAnsi="Arial" w:cs="Arial"/>
          <w:color w:val="444444"/>
          <w:kern w:val="0"/>
          <w:sz w:val="22"/>
          <w:szCs w:val="22"/>
          <w14:ligatures w14:val="none"/>
        </w:rPr>
        <w:t xml:space="preserve">. </w:t>
      </w:r>
      <w:r w:rsidRPr="000B4BF1">
        <w:rPr>
          <w:rFonts w:ascii="Arial" w:eastAsia="Times New Roman" w:hAnsi="Arial" w:cs="Arial"/>
          <w:b/>
          <w:bCs/>
          <w:color w:val="444444"/>
          <w:kern w:val="0"/>
          <w:sz w:val="22"/>
          <w:szCs w:val="22"/>
          <w14:ligatures w14:val="none"/>
        </w:rPr>
        <w:t>Equal Pay for Equal Work – Wage Range Transparency</w:t>
      </w:r>
      <w:r w:rsidRPr="000B4BF1">
        <w:rPr>
          <w:rFonts w:ascii="Arial" w:eastAsia="Times New Roman" w:hAnsi="Arial" w:cs="Arial"/>
          <w:color w:val="444444"/>
          <w:kern w:val="0"/>
          <w:sz w:val="22"/>
          <w:szCs w:val="22"/>
          <w14:ligatures w14:val="none"/>
        </w:rPr>
        <w:t xml:space="preserve">, </w:t>
      </w:r>
      <w:r w:rsidRPr="000B4BF1">
        <w:rPr>
          <w:rFonts w:ascii="Arial" w:hAnsi="Arial" w:cs="Arial"/>
          <w:sz w:val="22"/>
          <w:szCs w:val="22"/>
        </w:rPr>
        <w:t xml:space="preserve">which would require all Maryland employers to post salary ranges when they advertise a job position. This bill </w:t>
      </w:r>
      <w:r w:rsidR="00CB1E8C">
        <w:rPr>
          <w:rFonts w:ascii="Arial" w:hAnsi="Arial" w:cs="Arial"/>
          <w:sz w:val="22"/>
          <w:szCs w:val="22"/>
        </w:rPr>
        <w:t>is</w:t>
      </w:r>
      <w:r w:rsidRPr="000B4BF1">
        <w:rPr>
          <w:rFonts w:ascii="Arial" w:hAnsi="Arial" w:cs="Arial"/>
          <w:sz w:val="22"/>
          <w:szCs w:val="22"/>
        </w:rPr>
        <w:t xml:space="preserve"> one of AAUW’s strategic priorities for bridging the pay gap.</w:t>
      </w:r>
    </w:p>
    <w:p w14:paraId="5B1BC1AE" w14:textId="7DAC3A7C" w:rsidR="00232FD6" w:rsidRPr="000B4BF1" w:rsidRDefault="00CC27AF" w:rsidP="000E27A3">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hyperlink r:id="rId9" w:history="1">
        <w:r w:rsidR="00D422B7" w:rsidRPr="000B4BF1">
          <w:rPr>
            <w:rStyle w:val="Hyperlink"/>
            <w:rFonts w:ascii="Arial" w:eastAsia="Times New Roman" w:hAnsi="Arial" w:cs="Arial"/>
            <w:b/>
            <w:bCs/>
            <w:kern w:val="0"/>
            <w:sz w:val="22"/>
            <w:szCs w:val="22"/>
            <w14:ligatures w14:val="none"/>
          </w:rPr>
          <w:t>SB119</w:t>
        </w:r>
      </w:hyperlink>
      <w:r w:rsidR="00D422B7" w:rsidRPr="000B4BF1">
        <w:rPr>
          <w:rFonts w:ascii="Arial" w:eastAsia="Times New Roman" w:hAnsi="Arial" w:cs="Arial"/>
          <w:b/>
          <w:bCs/>
          <w:color w:val="444444"/>
          <w:kern w:val="0"/>
          <w:sz w:val="22"/>
          <w:szCs w:val="22"/>
          <w14:ligatures w14:val="none"/>
        </w:rPr>
        <w:t>, HB691</w:t>
      </w:r>
      <w:r w:rsidR="00D422B7" w:rsidRPr="000B4BF1">
        <w:rPr>
          <w:rFonts w:ascii="Arial" w:eastAsia="Times New Roman" w:hAnsi="Arial" w:cs="Arial"/>
          <w:color w:val="444444"/>
          <w:kern w:val="0"/>
          <w:sz w:val="22"/>
          <w:szCs w:val="22"/>
          <w14:ligatures w14:val="none"/>
        </w:rPr>
        <w:t>.</w:t>
      </w:r>
      <w:r w:rsidR="00731B63" w:rsidRPr="000B4BF1">
        <w:rPr>
          <w:rFonts w:ascii="Arial" w:eastAsia="Times New Roman" w:hAnsi="Arial" w:cs="Arial"/>
          <w:color w:val="444444"/>
          <w:kern w:val="0"/>
          <w:sz w:val="22"/>
          <w:szCs w:val="22"/>
          <w14:ligatures w14:val="none"/>
        </w:rPr>
        <w:t xml:space="preserve"> </w:t>
      </w:r>
      <w:r w:rsidR="00731B63" w:rsidRPr="000B4BF1">
        <w:rPr>
          <w:rFonts w:ascii="Arial" w:eastAsia="Times New Roman" w:hAnsi="Arial" w:cs="Arial"/>
          <w:b/>
          <w:bCs/>
          <w:color w:val="444444"/>
          <w:kern w:val="0"/>
          <w:sz w:val="22"/>
          <w:szCs w:val="22"/>
          <w14:ligatures w14:val="none"/>
        </w:rPr>
        <w:t>Legally Protected Healthcare – Gender-Affirming Treatment</w:t>
      </w:r>
      <w:r w:rsidR="00731B63" w:rsidRPr="000B4BF1">
        <w:rPr>
          <w:rFonts w:ascii="Arial" w:eastAsia="Times New Roman" w:hAnsi="Arial" w:cs="Arial"/>
          <w:color w:val="444444"/>
          <w:kern w:val="0"/>
          <w:sz w:val="22"/>
          <w:szCs w:val="22"/>
          <w14:ligatures w14:val="none"/>
        </w:rPr>
        <w:t xml:space="preserve">, </w:t>
      </w:r>
      <w:r w:rsidR="00731B63" w:rsidRPr="000B4BF1">
        <w:rPr>
          <w:rFonts w:ascii="Arial" w:hAnsi="Arial" w:cs="Arial"/>
          <w:sz w:val="22"/>
          <w:szCs w:val="22"/>
        </w:rPr>
        <w:t>which extends to transgender medical care the same protections won for abortion care in 2023.</w:t>
      </w:r>
      <w:r w:rsidR="00731B63" w:rsidRPr="000B4BF1">
        <w:rPr>
          <w:rFonts w:ascii="Arial" w:hAnsi="Arial" w:cs="Arial"/>
          <w:sz w:val="22"/>
          <w:szCs w:val="22"/>
        </w:rPr>
        <w:br/>
      </w:r>
    </w:p>
    <w:p w14:paraId="7EC63BA2" w14:textId="5B56CF1E" w:rsidR="007223DE" w:rsidRPr="000B4BF1" w:rsidRDefault="00CC27AF" w:rsidP="007223DE">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hyperlink r:id="rId10" w:history="1">
        <w:r w:rsidR="00731B63" w:rsidRPr="000B4BF1">
          <w:rPr>
            <w:rStyle w:val="Hyperlink"/>
            <w:rFonts w:ascii="Arial" w:eastAsia="Times New Roman" w:hAnsi="Arial" w:cs="Arial"/>
            <w:b/>
            <w:bCs/>
            <w:kern w:val="0"/>
            <w:sz w:val="22"/>
            <w:szCs w:val="22"/>
            <w14:ligatures w14:val="none"/>
          </w:rPr>
          <w:t>SB113</w:t>
        </w:r>
      </w:hyperlink>
      <w:r w:rsidR="00731B63" w:rsidRPr="000B4BF1">
        <w:rPr>
          <w:rFonts w:ascii="Arial" w:eastAsia="Times New Roman" w:hAnsi="Arial" w:cs="Arial"/>
          <w:b/>
          <w:bCs/>
          <w:color w:val="444444"/>
          <w:kern w:val="0"/>
          <w:sz w:val="22"/>
          <w:szCs w:val="22"/>
          <w14:ligatures w14:val="none"/>
        </w:rPr>
        <w:t>, HB99. Sexual Solicitation of a Minor through Child Pornography – Prohibition</w:t>
      </w:r>
      <w:r w:rsidR="00731B63" w:rsidRPr="000B4BF1">
        <w:rPr>
          <w:rFonts w:ascii="Arial" w:eastAsia="Times New Roman" w:hAnsi="Arial" w:cs="Arial"/>
          <w:color w:val="444444"/>
          <w:kern w:val="0"/>
          <w:sz w:val="22"/>
          <w:szCs w:val="22"/>
          <w14:ligatures w14:val="none"/>
        </w:rPr>
        <w:t xml:space="preserve">, </w:t>
      </w:r>
      <w:r w:rsidR="00356016" w:rsidRPr="000B4BF1">
        <w:rPr>
          <w:rFonts w:ascii="Arial" w:eastAsia="Times New Roman" w:hAnsi="Arial" w:cs="Arial"/>
          <w:color w:val="444444"/>
          <w:kern w:val="0"/>
          <w:sz w:val="22"/>
          <w:szCs w:val="22"/>
          <w14:ligatures w14:val="none"/>
        </w:rPr>
        <w:t xml:space="preserve">which </w:t>
      </w:r>
      <w:r w:rsidR="00356016" w:rsidRPr="000B4BF1">
        <w:rPr>
          <w:rFonts w:ascii="Arial" w:hAnsi="Arial" w:cs="Arial"/>
          <w:sz w:val="22"/>
          <w:szCs w:val="22"/>
        </w:rPr>
        <w:t>would make it a crime to solicit minors on the internet into making pornographic content.</w:t>
      </w:r>
      <w:r w:rsidR="00FC753A" w:rsidRPr="000B4BF1">
        <w:rPr>
          <w:rFonts w:ascii="Arial" w:hAnsi="Arial" w:cs="Arial"/>
          <w:sz w:val="22"/>
          <w:szCs w:val="22"/>
        </w:rPr>
        <w:br/>
      </w:r>
    </w:p>
    <w:p w14:paraId="11B286B3" w14:textId="417E9E25" w:rsidR="006A2F0D" w:rsidRPr="000B4BF1" w:rsidRDefault="00CC27AF" w:rsidP="006A2F0D">
      <w:pPr>
        <w:numPr>
          <w:ilvl w:val="0"/>
          <w:numId w:val="1"/>
        </w:num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hyperlink r:id="rId11" w:history="1">
        <w:r w:rsidR="00FC753A" w:rsidRPr="000B4BF1">
          <w:rPr>
            <w:rStyle w:val="Hyperlink"/>
            <w:rFonts w:ascii="Arial" w:eastAsia="Times New Roman" w:hAnsi="Arial" w:cs="Arial"/>
            <w:b/>
            <w:bCs/>
            <w:kern w:val="0"/>
            <w:sz w:val="22"/>
            <w:szCs w:val="22"/>
            <w14:ligatures w14:val="none"/>
          </w:rPr>
          <w:t>HB1143</w:t>
        </w:r>
      </w:hyperlink>
      <w:r w:rsidR="00FC753A" w:rsidRPr="000B4BF1">
        <w:rPr>
          <w:rFonts w:ascii="Arial" w:eastAsia="Times New Roman" w:hAnsi="Arial" w:cs="Arial"/>
          <w:b/>
          <w:bCs/>
          <w:color w:val="444444"/>
          <w:kern w:val="0"/>
          <w:sz w:val="22"/>
          <w:szCs w:val="22"/>
          <w14:ligatures w14:val="none"/>
        </w:rPr>
        <w:t>. Maryland Emergency Department Wait Time Reduction Commission</w:t>
      </w:r>
      <w:r w:rsidR="00FC753A" w:rsidRPr="000B4BF1">
        <w:rPr>
          <w:rFonts w:ascii="Arial" w:eastAsia="Times New Roman" w:hAnsi="Arial" w:cs="Arial"/>
          <w:color w:val="444444"/>
          <w:kern w:val="0"/>
          <w:sz w:val="22"/>
          <w:szCs w:val="22"/>
          <w14:ligatures w14:val="none"/>
        </w:rPr>
        <w:t xml:space="preserve">, </w:t>
      </w:r>
      <w:r w:rsidR="00CB1E8C">
        <w:rPr>
          <w:rFonts w:ascii="Arial" w:eastAsia="Times New Roman" w:hAnsi="Arial" w:cs="Arial"/>
          <w:color w:val="444444"/>
          <w:kern w:val="0"/>
          <w:sz w:val="22"/>
          <w:szCs w:val="22"/>
          <w14:ligatures w14:val="none"/>
        </w:rPr>
        <w:t>which would</w:t>
      </w:r>
      <w:r w:rsidR="00FC753A" w:rsidRPr="000B4BF1">
        <w:rPr>
          <w:rFonts w:ascii="Arial" w:eastAsia="Times New Roman" w:hAnsi="Arial" w:cs="Arial"/>
          <w:color w:val="444444"/>
          <w:kern w:val="0"/>
          <w:sz w:val="22"/>
          <w:szCs w:val="22"/>
          <w14:ligatures w14:val="none"/>
        </w:rPr>
        <w:t xml:space="preserve"> address </w:t>
      </w:r>
      <w:r w:rsidR="00FC753A" w:rsidRPr="000B4BF1">
        <w:rPr>
          <w:rFonts w:ascii="Arial" w:hAnsi="Arial" w:cs="Arial"/>
          <w:color w:val="212529"/>
          <w:sz w:val="22"/>
          <w:szCs w:val="22"/>
          <w:shd w:val="clear" w:color="auto" w:fill="F8F8F8"/>
        </w:rPr>
        <w:t>factors throughout the health care system that contribute to increased emergency department wait times and requiring the Commission, beginning November 1, 2025, to report annually to the Governor and General Assembly on its findings and recommendations including the development, implementation, and impact of the recommended policies and programs on emergency department wait times.</w:t>
      </w:r>
    </w:p>
    <w:p w14:paraId="0C9325C9" w14:textId="3CF2804E" w:rsidR="006A2F0D" w:rsidRPr="000B4BF1" w:rsidRDefault="006A2F0D"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t>AAUW Maryland was a co-sponsor of both the Maryland Legislative Agenda for Women’s Fall Conference in November and the Women’s Legislative Briefing presented by the Montgomery County Commission for Women in January. We had a table representing AAUW Maryland at the WLB and Tracy Lantz represented us at the Presidents’ Networking Session.</w:t>
      </w:r>
    </w:p>
    <w:p w14:paraId="46C687B4" w14:textId="08736573" w:rsidR="000B4BF1" w:rsidRPr="000B4BF1" w:rsidRDefault="000B4BF1" w:rsidP="000B4BF1">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t>A</w:t>
      </w:r>
      <w:r w:rsidRPr="000B4BF1">
        <w:rPr>
          <w:rFonts w:ascii="Arial" w:eastAsia="Times New Roman" w:hAnsi="Arial" w:cs="Arial"/>
          <w:color w:val="444444"/>
          <w:kern w:val="0"/>
          <w:sz w:val="22"/>
          <w:szCs w:val="22"/>
          <w14:ligatures w14:val="none"/>
        </w:rPr>
        <w:t xml:space="preserve">n </w:t>
      </w:r>
      <w:r w:rsidRPr="000B4BF1">
        <w:rPr>
          <w:rFonts w:ascii="Arial" w:eastAsia="Times New Roman" w:hAnsi="Arial" w:cs="Arial"/>
          <w:color w:val="444444"/>
          <w:kern w:val="0"/>
          <w:sz w:val="22"/>
          <w:szCs w:val="22"/>
          <w14:ligatures w14:val="none"/>
        </w:rPr>
        <w:t>advocacy training session was held online on Tuesday, January 9, just prior to the start of the Maryland legislative session.</w:t>
      </w:r>
    </w:p>
    <w:p w14:paraId="4950D517" w14:textId="0CA57151" w:rsidR="000B4BF1" w:rsidRPr="000B4BF1" w:rsidRDefault="000B4BF1" w:rsidP="000B4BF1">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t>Advocacy Day was held following the ERA Rally on Lawyers Mall on February 19. Members</w:t>
      </w:r>
      <w:r w:rsidRPr="000B4BF1">
        <w:rPr>
          <w:rFonts w:ascii="Arial" w:eastAsia="Times New Roman" w:hAnsi="Arial" w:cs="Arial"/>
          <w:color w:val="444444"/>
          <w:kern w:val="0"/>
          <w:sz w:val="22"/>
          <w:szCs w:val="22"/>
          <w14:ligatures w14:val="none"/>
        </w:rPr>
        <w:t>, in small groups,</w:t>
      </w:r>
      <w:r w:rsidRPr="000B4BF1">
        <w:rPr>
          <w:rFonts w:ascii="Arial" w:eastAsia="Times New Roman" w:hAnsi="Arial" w:cs="Arial"/>
          <w:color w:val="444444"/>
          <w:kern w:val="0"/>
          <w:sz w:val="22"/>
          <w:szCs w:val="22"/>
          <w14:ligatures w14:val="none"/>
        </w:rPr>
        <w:t xml:space="preserve"> visited offices of legislators encouraging support for several of the bills in our legislative agenda.</w:t>
      </w:r>
    </w:p>
    <w:p w14:paraId="79C4F900" w14:textId="26B05B9D" w:rsidR="006A2F0D" w:rsidRDefault="006A2F0D"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lastRenderedPageBreak/>
        <w:t xml:space="preserve">Additional funding approved by the Board brought the mini-grant </w:t>
      </w:r>
      <w:r w:rsidR="00CB1E8C">
        <w:rPr>
          <w:rFonts w:ascii="Arial" w:eastAsia="Times New Roman" w:hAnsi="Arial" w:cs="Arial"/>
          <w:color w:val="444444"/>
          <w:kern w:val="0"/>
          <w:sz w:val="22"/>
          <w:szCs w:val="22"/>
          <w14:ligatures w14:val="none"/>
        </w:rPr>
        <w:t>budget</w:t>
      </w:r>
      <w:r w:rsidRPr="000B4BF1">
        <w:rPr>
          <w:rFonts w:ascii="Arial" w:eastAsia="Times New Roman" w:hAnsi="Arial" w:cs="Arial"/>
          <w:color w:val="444444"/>
          <w:kern w:val="0"/>
          <w:sz w:val="22"/>
          <w:szCs w:val="22"/>
          <w14:ligatures w14:val="none"/>
        </w:rPr>
        <w:t xml:space="preserve"> to $1000 for 2023-24. A grant was awarded to the Garret County branch for their August community presentation “Women’s Economic Equity and Empowerment”. Harford County branch received a grant to help support the Resnik Brunch, honoring </w:t>
      </w:r>
      <w:r w:rsidR="00F7468A" w:rsidRPr="000B4BF1">
        <w:rPr>
          <w:rFonts w:ascii="Arial" w:eastAsia="Times New Roman" w:hAnsi="Arial" w:cs="Arial"/>
          <w:color w:val="444444"/>
          <w:kern w:val="0"/>
          <w:sz w:val="22"/>
          <w:szCs w:val="22"/>
          <w14:ligatures w14:val="none"/>
        </w:rPr>
        <w:t>high school girls with outstanding success in STEM. Harford also received a grant to offset some the expense for an activity called “All Girls’ School View of the World”, providing a television to a girls’ school in Kenya, that the</w:t>
      </w:r>
      <w:r w:rsidR="00CB1E8C">
        <w:rPr>
          <w:rFonts w:ascii="Arial" w:eastAsia="Times New Roman" w:hAnsi="Arial" w:cs="Arial"/>
          <w:color w:val="444444"/>
          <w:kern w:val="0"/>
          <w:sz w:val="22"/>
          <w:szCs w:val="22"/>
          <w14:ligatures w14:val="none"/>
        </w:rPr>
        <w:t>ir</w:t>
      </w:r>
      <w:r w:rsidR="00F7468A" w:rsidRPr="000B4BF1">
        <w:rPr>
          <w:rFonts w:ascii="Arial" w:eastAsia="Times New Roman" w:hAnsi="Arial" w:cs="Arial"/>
          <w:color w:val="444444"/>
          <w:kern w:val="0"/>
          <w:sz w:val="22"/>
          <w:szCs w:val="22"/>
          <w14:ligatures w14:val="none"/>
        </w:rPr>
        <w:t xml:space="preserve"> branch continuously supports </w:t>
      </w:r>
      <w:r w:rsidR="00CB1E8C">
        <w:rPr>
          <w:rFonts w:ascii="Arial" w:eastAsia="Times New Roman" w:hAnsi="Arial" w:cs="Arial"/>
          <w:color w:val="444444"/>
          <w:kern w:val="0"/>
          <w:sz w:val="22"/>
          <w:szCs w:val="22"/>
          <w14:ligatures w14:val="none"/>
        </w:rPr>
        <w:t>through</w:t>
      </w:r>
      <w:r w:rsidR="00F7468A" w:rsidRPr="000B4BF1">
        <w:rPr>
          <w:rFonts w:ascii="Arial" w:eastAsia="Times New Roman" w:hAnsi="Arial" w:cs="Arial"/>
          <w:color w:val="444444"/>
          <w:kern w:val="0"/>
          <w:sz w:val="22"/>
          <w:szCs w:val="22"/>
          <w14:ligatures w14:val="none"/>
        </w:rPr>
        <w:t xml:space="preserve"> fundraising activities.</w:t>
      </w:r>
      <w:r w:rsidR="00F7468A" w:rsidRPr="000B4BF1">
        <w:rPr>
          <w:rFonts w:ascii="Arial" w:eastAsia="Times New Roman" w:hAnsi="Arial" w:cs="Arial"/>
          <w:color w:val="444444"/>
          <w:kern w:val="0"/>
          <w:sz w:val="22"/>
          <w:szCs w:val="22"/>
          <w14:ligatures w14:val="none"/>
        </w:rPr>
        <w:br/>
        <w:t>The next deadline for mini-grants is June 15, 2024. The applications are available under Tools for Leaders on our website. The applications submitted for the previous grants are also there to read.</w:t>
      </w:r>
    </w:p>
    <w:p w14:paraId="082285B7" w14:textId="09C7F6A5" w:rsidR="000B4BF1" w:rsidRPr="000B4BF1" w:rsidRDefault="000B4BF1"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Pr>
          <w:rFonts w:ascii="Arial" w:eastAsia="Times New Roman" w:hAnsi="Arial" w:cs="Arial"/>
          <w:color w:val="444444"/>
          <w:kern w:val="0"/>
          <w:sz w:val="22"/>
          <w:szCs w:val="22"/>
          <w14:ligatures w14:val="none"/>
        </w:rPr>
        <w:t>We have allotted most of the remaining funds in the public policy</w:t>
      </w:r>
      <w:r w:rsidR="00CB1E8C">
        <w:rPr>
          <w:rFonts w:ascii="Arial" w:eastAsia="Times New Roman" w:hAnsi="Arial" w:cs="Arial"/>
          <w:color w:val="444444"/>
          <w:kern w:val="0"/>
          <w:sz w:val="22"/>
          <w:szCs w:val="22"/>
          <w14:ligatures w14:val="none"/>
        </w:rPr>
        <w:t xml:space="preserve"> budget</w:t>
      </w:r>
      <w:r>
        <w:rPr>
          <w:rFonts w:ascii="Arial" w:eastAsia="Times New Roman" w:hAnsi="Arial" w:cs="Arial"/>
          <w:color w:val="444444"/>
          <w:kern w:val="0"/>
          <w:sz w:val="22"/>
          <w:szCs w:val="22"/>
          <w14:ligatures w14:val="none"/>
        </w:rPr>
        <w:t xml:space="preserve"> for an umbrella project highlight</w:t>
      </w:r>
      <w:r w:rsidR="00CB1E8C">
        <w:rPr>
          <w:rFonts w:ascii="Arial" w:eastAsia="Times New Roman" w:hAnsi="Arial" w:cs="Arial"/>
          <w:color w:val="444444"/>
          <w:kern w:val="0"/>
          <w:sz w:val="22"/>
          <w:szCs w:val="22"/>
          <w14:ligatures w14:val="none"/>
        </w:rPr>
        <w:t>ing</w:t>
      </w:r>
      <w:r>
        <w:rPr>
          <w:rFonts w:ascii="Arial" w:eastAsia="Times New Roman" w:hAnsi="Arial" w:cs="Arial"/>
          <w:color w:val="444444"/>
          <w:kern w:val="0"/>
          <w:sz w:val="22"/>
          <w:szCs w:val="22"/>
          <w14:ligatures w14:val="none"/>
        </w:rPr>
        <w:t xml:space="preserve"> the ERA efforts. These funds are expected to easily be returned to the account with the sale of the umbrellas at our events and possibly at the regional convention. Susan Crawford, Anne Arundel branch, developed this project.</w:t>
      </w:r>
    </w:p>
    <w:p w14:paraId="038E9FF5" w14:textId="46554518" w:rsidR="000B4BF1" w:rsidRDefault="000B4BF1"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Pr>
          <w:rFonts w:ascii="Arial" w:eastAsia="Times New Roman" w:hAnsi="Arial" w:cs="Arial"/>
          <w:color w:val="444444"/>
          <w:kern w:val="0"/>
          <w:sz w:val="22"/>
          <w:szCs w:val="22"/>
          <w14:ligatures w14:val="none"/>
        </w:rPr>
        <w:t>The public policy committee met monthly on the third Thursday, with meeting reports and updates sent to the presidents, branch chairs and other committee members. In addition, Roxann King and Judy Carbone  have attended the meeting</w:t>
      </w:r>
      <w:r w:rsidR="00CC27AF">
        <w:rPr>
          <w:rFonts w:ascii="Arial" w:eastAsia="Times New Roman" w:hAnsi="Arial" w:cs="Arial"/>
          <w:color w:val="444444"/>
          <w:kern w:val="0"/>
          <w:sz w:val="22"/>
          <w:szCs w:val="22"/>
          <w14:ligatures w14:val="none"/>
        </w:rPr>
        <w:t>s</w:t>
      </w:r>
      <w:r>
        <w:rPr>
          <w:rFonts w:ascii="Arial" w:eastAsia="Times New Roman" w:hAnsi="Arial" w:cs="Arial"/>
          <w:color w:val="444444"/>
          <w:kern w:val="0"/>
          <w:sz w:val="22"/>
          <w:szCs w:val="22"/>
          <w14:ligatures w14:val="none"/>
        </w:rPr>
        <w:t xml:space="preserve"> on the first Wednesday of each month</w:t>
      </w:r>
      <w:r w:rsidR="00CB1E8C">
        <w:rPr>
          <w:rFonts w:ascii="Arial" w:eastAsia="Times New Roman" w:hAnsi="Arial" w:cs="Arial"/>
          <w:color w:val="444444"/>
          <w:kern w:val="0"/>
          <w:sz w:val="22"/>
          <w:szCs w:val="22"/>
          <w14:ligatures w14:val="none"/>
        </w:rPr>
        <w:t xml:space="preserve"> for state chairs of public policy. There have also been quite a few AAUW webinars that we have attended related to public policy: legislative, Title IX, diversity, and, currently, a series of six concerning getting out the vote. </w:t>
      </w:r>
    </w:p>
    <w:p w14:paraId="2CCC3634" w14:textId="3D4B9204" w:rsidR="00841D1A" w:rsidRDefault="00841D1A"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sidRPr="000B4BF1">
        <w:rPr>
          <w:rFonts w:ascii="Arial" w:eastAsia="Times New Roman" w:hAnsi="Arial" w:cs="Arial"/>
          <w:color w:val="444444"/>
          <w:kern w:val="0"/>
          <w:sz w:val="22"/>
          <w:szCs w:val="22"/>
          <w14:ligatures w14:val="none"/>
        </w:rPr>
        <w:t xml:space="preserve">Looking forward to summer and fall, we expect to be working on getting out the vote. We also expect </w:t>
      </w:r>
      <w:r w:rsidR="000B4BF1" w:rsidRPr="000B4BF1">
        <w:rPr>
          <w:rFonts w:ascii="Arial" w:eastAsia="Times New Roman" w:hAnsi="Arial" w:cs="Arial"/>
          <w:color w:val="444444"/>
          <w:kern w:val="0"/>
          <w:sz w:val="22"/>
          <w:szCs w:val="22"/>
          <w14:ligatures w14:val="none"/>
        </w:rPr>
        <w:t xml:space="preserve">Title IX guidelines to be published </w:t>
      </w:r>
      <w:r w:rsidR="00CC27AF">
        <w:rPr>
          <w:rFonts w:ascii="Arial" w:eastAsia="Times New Roman" w:hAnsi="Arial" w:cs="Arial"/>
          <w:color w:val="444444"/>
          <w:kern w:val="0"/>
          <w:sz w:val="22"/>
          <w:szCs w:val="22"/>
          <w14:ligatures w14:val="none"/>
        </w:rPr>
        <w:t xml:space="preserve">by the U.S. Department of Education </w:t>
      </w:r>
      <w:r w:rsidR="000B4BF1" w:rsidRPr="000B4BF1">
        <w:rPr>
          <w:rFonts w:ascii="Arial" w:eastAsia="Times New Roman" w:hAnsi="Arial" w:cs="Arial"/>
          <w:color w:val="444444"/>
          <w:kern w:val="0"/>
          <w:sz w:val="22"/>
          <w:szCs w:val="22"/>
          <w14:ligatures w14:val="none"/>
        </w:rPr>
        <w:t xml:space="preserve">soon: educating our membership, legislators and the public </w:t>
      </w:r>
      <w:r w:rsidR="00CC27AF">
        <w:rPr>
          <w:rFonts w:ascii="Arial" w:eastAsia="Times New Roman" w:hAnsi="Arial" w:cs="Arial"/>
          <w:color w:val="444444"/>
          <w:kern w:val="0"/>
          <w:sz w:val="22"/>
          <w:szCs w:val="22"/>
          <w14:ligatures w14:val="none"/>
        </w:rPr>
        <w:t xml:space="preserve">concerning the guidelines </w:t>
      </w:r>
      <w:r w:rsidR="000B4BF1" w:rsidRPr="000B4BF1">
        <w:rPr>
          <w:rFonts w:ascii="Arial" w:eastAsia="Times New Roman" w:hAnsi="Arial" w:cs="Arial"/>
          <w:color w:val="444444"/>
          <w:kern w:val="0"/>
          <w:sz w:val="22"/>
          <w:szCs w:val="22"/>
          <w14:ligatures w14:val="none"/>
        </w:rPr>
        <w:t xml:space="preserve">will be a priority. </w:t>
      </w:r>
    </w:p>
    <w:p w14:paraId="39E36D6F" w14:textId="5035C168" w:rsidR="00CC27AF" w:rsidRDefault="00CC27AF"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Pr>
          <w:rFonts w:ascii="Arial" w:eastAsia="Times New Roman" w:hAnsi="Arial" w:cs="Arial"/>
          <w:color w:val="444444"/>
          <w:kern w:val="0"/>
          <w:sz w:val="22"/>
          <w:szCs w:val="22"/>
          <w14:ligatures w14:val="none"/>
        </w:rPr>
        <w:t>Respectfully submitted,</w:t>
      </w:r>
    </w:p>
    <w:p w14:paraId="5817253D" w14:textId="41AD143D" w:rsidR="00CC27AF" w:rsidRDefault="00CC27AF"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r>
        <w:rPr>
          <w:rFonts w:ascii="Arial" w:eastAsia="Times New Roman" w:hAnsi="Arial" w:cs="Arial"/>
          <w:color w:val="444444"/>
          <w:kern w:val="0"/>
          <w:sz w:val="22"/>
          <w:szCs w:val="22"/>
          <w14:ligatures w14:val="none"/>
        </w:rPr>
        <w:t>Roxann King, Co-Vice President, Public Policy</w:t>
      </w:r>
      <w:r>
        <w:rPr>
          <w:rFonts w:ascii="Arial" w:eastAsia="Times New Roman" w:hAnsi="Arial" w:cs="Arial"/>
          <w:color w:val="444444"/>
          <w:kern w:val="0"/>
          <w:sz w:val="22"/>
          <w:szCs w:val="22"/>
          <w14:ligatures w14:val="none"/>
        </w:rPr>
        <w:br/>
        <w:t>AAUW Maryland</w:t>
      </w:r>
    </w:p>
    <w:p w14:paraId="0C58351E" w14:textId="77777777" w:rsidR="00CC27AF" w:rsidRPr="000B4BF1" w:rsidRDefault="00CC27AF" w:rsidP="006A2F0D">
      <w:pPr>
        <w:shd w:val="clear" w:color="auto" w:fill="FFFFFF"/>
        <w:spacing w:beforeAutospacing="1" w:after="0" w:afterAutospacing="1" w:line="240" w:lineRule="auto"/>
        <w:textAlignment w:val="baseline"/>
        <w:rPr>
          <w:rFonts w:ascii="Arial" w:eastAsia="Times New Roman" w:hAnsi="Arial" w:cs="Arial"/>
          <w:color w:val="444444"/>
          <w:kern w:val="0"/>
          <w:sz w:val="22"/>
          <w:szCs w:val="22"/>
          <w14:ligatures w14:val="none"/>
        </w:rPr>
      </w:pPr>
    </w:p>
    <w:p w14:paraId="50E1FD9E" w14:textId="77777777" w:rsidR="00232FD6" w:rsidRPr="000B4BF1" w:rsidRDefault="00232FD6">
      <w:pPr>
        <w:rPr>
          <w:rFonts w:ascii="Arial" w:hAnsi="Arial" w:cs="Arial"/>
          <w:sz w:val="22"/>
          <w:szCs w:val="22"/>
        </w:rPr>
      </w:pPr>
    </w:p>
    <w:sectPr w:rsidR="00232FD6" w:rsidRPr="000B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D5CA0"/>
    <w:multiLevelType w:val="multilevel"/>
    <w:tmpl w:val="708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B7369"/>
    <w:multiLevelType w:val="hybridMultilevel"/>
    <w:tmpl w:val="984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69948">
    <w:abstractNumId w:val="0"/>
  </w:num>
  <w:num w:numId="2" w16cid:durableId="136544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D6"/>
    <w:rsid w:val="000B4BF1"/>
    <w:rsid w:val="00232FD6"/>
    <w:rsid w:val="00356016"/>
    <w:rsid w:val="005E13D9"/>
    <w:rsid w:val="0067153B"/>
    <w:rsid w:val="006A2F0D"/>
    <w:rsid w:val="007223DE"/>
    <w:rsid w:val="00731B63"/>
    <w:rsid w:val="00841D1A"/>
    <w:rsid w:val="00CB1E8C"/>
    <w:rsid w:val="00CC27AF"/>
    <w:rsid w:val="00D422B7"/>
    <w:rsid w:val="00F7468A"/>
    <w:rsid w:val="00FC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B250"/>
  <w15:chartTrackingRefBased/>
  <w15:docId w15:val="{8FA26C5B-BAA1-4F22-9DEF-0689D54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F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2F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2F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2F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2F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2F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2F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2F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2F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F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2F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2F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2F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2F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2F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2F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2F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2FD6"/>
    <w:rPr>
      <w:rFonts w:eastAsiaTheme="majorEastAsia" w:cstheme="majorBidi"/>
      <w:color w:val="272727" w:themeColor="text1" w:themeTint="D8"/>
    </w:rPr>
  </w:style>
  <w:style w:type="paragraph" w:styleId="Title">
    <w:name w:val="Title"/>
    <w:basedOn w:val="Normal"/>
    <w:next w:val="Normal"/>
    <w:link w:val="TitleChar"/>
    <w:uiPriority w:val="10"/>
    <w:qFormat/>
    <w:rsid w:val="00232F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F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F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2F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2FD6"/>
    <w:pPr>
      <w:spacing w:before="160"/>
      <w:jc w:val="center"/>
    </w:pPr>
    <w:rPr>
      <w:i/>
      <w:iCs/>
      <w:color w:val="404040" w:themeColor="text1" w:themeTint="BF"/>
    </w:rPr>
  </w:style>
  <w:style w:type="character" w:customStyle="1" w:styleId="QuoteChar">
    <w:name w:val="Quote Char"/>
    <w:basedOn w:val="DefaultParagraphFont"/>
    <w:link w:val="Quote"/>
    <w:uiPriority w:val="29"/>
    <w:rsid w:val="00232FD6"/>
    <w:rPr>
      <w:i/>
      <w:iCs/>
      <w:color w:val="404040" w:themeColor="text1" w:themeTint="BF"/>
    </w:rPr>
  </w:style>
  <w:style w:type="paragraph" w:styleId="ListParagraph">
    <w:name w:val="List Paragraph"/>
    <w:basedOn w:val="Normal"/>
    <w:uiPriority w:val="34"/>
    <w:qFormat/>
    <w:rsid w:val="00232FD6"/>
    <w:pPr>
      <w:ind w:left="720"/>
      <w:contextualSpacing/>
    </w:pPr>
  </w:style>
  <w:style w:type="character" w:styleId="IntenseEmphasis">
    <w:name w:val="Intense Emphasis"/>
    <w:basedOn w:val="DefaultParagraphFont"/>
    <w:uiPriority w:val="21"/>
    <w:qFormat/>
    <w:rsid w:val="00232FD6"/>
    <w:rPr>
      <w:i/>
      <w:iCs/>
      <w:color w:val="0F4761" w:themeColor="accent1" w:themeShade="BF"/>
    </w:rPr>
  </w:style>
  <w:style w:type="paragraph" w:styleId="IntenseQuote">
    <w:name w:val="Intense Quote"/>
    <w:basedOn w:val="Normal"/>
    <w:next w:val="Normal"/>
    <w:link w:val="IntenseQuoteChar"/>
    <w:uiPriority w:val="30"/>
    <w:qFormat/>
    <w:rsid w:val="00232F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2FD6"/>
    <w:rPr>
      <w:i/>
      <w:iCs/>
      <w:color w:val="0F4761" w:themeColor="accent1" w:themeShade="BF"/>
    </w:rPr>
  </w:style>
  <w:style w:type="character" w:styleId="IntenseReference">
    <w:name w:val="Intense Reference"/>
    <w:basedOn w:val="DefaultParagraphFont"/>
    <w:uiPriority w:val="32"/>
    <w:qFormat/>
    <w:rsid w:val="00232FD6"/>
    <w:rPr>
      <w:b/>
      <w:bCs/>
      <w:smallCaps/>
      <w:color w:val="0F4761" w:themeColor="accent1" w:themeShade="BF"/>
      <w:spacing w:val="5"/>
    </w:rPr>
  </w:style>
  <w:style w:type="paragraph" w:styleId="NormalWeb">
    <w:name w:val="Normal (Web)"/>
    <w:basedOn w:val="Normal"/>
    <w:uiPriority w:val="99"/>
    <w:semiHidden/>
    <w:unhideWhenUsed/>
    <w:rsid w:val="00232FD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32FD6"/>
    <w:rPr>
      <w:b/>
      <w:bCs/>
    </w:rPr>
  </w:style>
  <w:style w:type="character" w:styleId="Hyperlink">
    <w:name w:val="Hyperlink"/>
    <w:basedOn w:val="DefaultParagraphFont"/>
    <w:uiPriority w:val="99"/>
    <w:unhideWhenUsed/>
    <w:rsid w:val="00232FD6"/>
    <w:rPr>
      <w:color w:val="0000FF"/>
      <w:u w:val="single"/>
    </w:rPr>
  </w:style>
  <w:style w:type="character" w:styleId="UnresolvedMention">
    <w:name w:val="Unresolved Mention"/>
    <w:basedOn w:val="DefaultParagraphFont"/>
    <w:uiPriority w:val="99"/>
    <w:semiHidden/>
    <w:unhideWhenUsed/>
    <w:rsid w:val="0023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945286">
      <w:bodyDiv w:val="1"/>
      <w:marLeft w:val="0"/>
      <w:marRight w:val="0"/>
      <w:marTop w:val="0"/>
      <w:marBottom w:val="0"/>
      <w:divBdr>
        <w:top w:val="none" w:sz="0" w:space="0" w:color="auto"/>
        <w:left w:val="none" w:sz="0" w:space="0" w:color="auto"/>
        <w:bottom w:val="none" w:sz="0" w:space="0" w:color="auto"/>
        <w:right w:val="none" w:sz="0" w:space="0" w:color="auto"/>
      </w:divBdr>
      <w:divsChild>
        <w:div w:id="10468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eg.maryland.gov/mgawebsite/Legislation/Details/HB06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aleg.maryland.gov/mgawebsite/Legislation/Details/hb00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aleg.maryland.gov/mgawebsite/Legislation/Details/hb0496" TargetMode="External"/><Relationship Id="rId11" Type="http://schemas.openxmlformats.org/officeDocument/2006/relationships/hyperlink" Target="https://mgaleg.maryland.gov/mgawebsite/Legislation/Details/hb1143" TargetMode="External"/><Relationship Id="rId5" Type="http://schemas.openxmlformats.org/officeDocument/2006/relationships/hyperlink" Target="https://mgaleg.maryland.gov/mgawebsite/Legislation/Details/sj0001" TargetMode="External"/><Relationship Id="rId10" Type="http://schemas.openxmlformats.org/officeDocument/2006/relationships/hyperlink" Target="https://mgaleg.maryland.gov/mgawebsite/Legislation/Details/sb0113" TargetMode="External"/><Relationship Id="rId4" Type="http://schemas.openxmlformats.org/officeDocument/2006/relationships/webSettings" Target="webSettings.xml"/><Relationship Id="rId9" Type="http://schemas.openxmlformats.org/officeDocument/2006/relationships/hyperlink" Target="https://mgaleg.maryland.gov/mgawebsite/Legislation/Details/SB0119?ys=2024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 King</dc:creator>
  <cp:keywords/>
  <dc:description/>
  <cp:lastModifiedBy>Roxann King</cp:lastModifiedBy>
  <cp:revision>2</cp:revision>
  <dcterms:created xsi:type="dcterms:W3CDTF">2024-04-17T03:04:00Z</dcterms:created>
  <dcterms:modified xsi:type="dcterms:W3CDTF">2024-04-17T03:04:00Z</dcterms:modified>
</cp:coreProperties>
</file>